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73031" w14:textId="77777777" w:rsidR="007E7A7A" w:rsidRDefault="007E7A7A">
      <w:pPr>
        <w:sectPr w:rsidR="007E7A7A">
          <w:headerReference w:type="default" r:id="rId6"/>
          <w:footerReference w:type="default" r:id="rId7"/>
          <w:type w:val="continuous"/>
          <w:pgSz w:w="12240" w:h="15840" w:code="1"/>
          <w:pgMar w:top="2340" w:right="1800" w:bottom="1170" w:left="1800" w:header="720" w:footer="720" w:gutter="0"/>
          <w:cols w:space="720"/>
        </w:sectPr>
      </w:pPr>
    </w:p>
    <w:p w14:paraId="525B5FBC" w14:textId="4136D85E" w:rsidR="00906C61" w:rsidRDefault="00DA653C" w:rsidP="00906C61">
      <w:pPr>
        <w:tabs>
          <w:tab w:val="left" w:pos="1170"/>
        </w:tabs>
        <w:rPr>
          <w:sz w:val="22"/>
          <w:szCs w:val="22"/>
        </w:rPr>
      </w:pPr>
      <w:r w:rsidRPr="00906C61">
        <w:rPr>
          <w:b/>
          <w:bCs/>
          <w:sz w:val="22"/>
          <w:szCs w:val="22"/>
        </w:rPr>
        <w:t>T</w:t>
      </w:r>
      <w:r w:rsidR="00EB12DA">
        <w:rPr>
          <w:b/>
          <w:bCs/>
          <w:sz w:val="22"/>
          <w:szCs w:val="22"/>
        </w:rPr>
        <w:t>O</w:t>
      </w:r>
      <w:r w:rsidRPr="00906C61">
        <w:rPr>
          <w:b/>
          <w:bCs/>
          <w:sz w:val="22"/>
          <w:szCs w:val="22"/>
        </w:rPr>
        <w:t>:</w:t>
      </w:r>
      <w:r w:rsidRPr="00CF51EE">
        <w:rPr>
          <w:sz w:val="22"/>
          <w:szCs w:val="22"/>
        </w:rPr>
        <w:tab/>
      </w:r>
      <w:r w:rsidR="00560162">
        <w:rPr>
          <w:sz w:val="22"/>
          <w:szCs w:val="22"/>
        </w:rPr>
        <w:t>Megan Chalifoux</w:t>
      </w:r>
      <w:r w:rsidRPr="00681B7A">
        <w:rPr>
          <w:sz w:val="22"/>
          <w:szCs w:val="22"/>
        </w:rPr>
        <w:t xml:space="preserve">, </w:t>
      </w:r>
      <w:r w:rsidR="00906C61">
        <w:rPr>
          <w:sz w:val="22"/>
          <w:szCs w:val="22"/>
        </w:rPr>
        <w:t>Attorney</w:t>
      </w:r>
    </w:p>
    <w:p w14:paraId="0970BD4B" w14:textId="1674A0F7" w:rsidR="00DA653C" w:rsidRPr="00CF51EE" w:rsidRDefault="00906C61" w:rsidP="00DA653C">
      <w:pPr>
        <w:tabs>
          <w:tab w:val="left" w:pos="1170"/>
        </w:tabs>
        <w:spacing w:after="120" w:line="360" w:lineRule="auto"/>
        <w:rPr>
          <w:sz w:val="22"/>
          <w:szCs w:val="22"/>
        </w:rPr>
      </w:pPr>
      <w:r>
        <w:rPr>
          <w:sz w:val="22"/>
          <w:szCs w:val="22"/>
        </w:rPr>
        <w:tab/>
      </w:r>
      <w:r w:rsidR="00DA653C" w:rsidRPr="00681B7A">
        <w:rPr>
          <w:sz w:val="22"/>
          <w:szCs w:val="22"/>
        </w:rPr>
        <w:t>Legal</w:t>
      </w:r>
      <w:r w:rsidR="00C96AE7">
        <w:rPr>
          <w:sz w:val="22"/>
          <w:szCs w:val="22"/>
        </w:rPr>
        <w:t xml:space="preserve"> Division</w:t>
      </w:r>
    </w:p>
    <w:p w14:paraId="334238CF" w14:textId="12D1CD8A" w:rsidR="00906C61" w:rsidRDefault="00DA653C" w:rsidP="00906C61">
      <w:pPr>
        <w:tabs>
          <w:tab w:val="left" w:pos="1170"/>
        </w:tabs>
        <w:rPr>
          <w:sz w:val="22"/>
          <w:szCs w:val="22"/>
        </w:rPr>
      </w:pPr>
      <w:r w:rsidRPr="00906C61">
        <w:rPr>
          <w:b/>
          <w:bCs/>
          <w:sz w:val="22"/>
          <w:szCs w:val="22"/>
        </w:rPr>
        <w:t>F</w:t>
      </w:r>
      <w:r w:rsidR="00EB12DA">
        <w:rPr>
          <w:b/>
          <w:bCs/>
          <w:sz w:val="22"/>
          <w:szCs w:val="22"/>
        </w:rPr>
        <w:t>ROM</w:t>
      </w:r>
      <w:r w:rsidRPr="00906C61">
        <w:rPr>
          <w:b/>
          <w:bCs/>
          <w:sz w:val="22"/>
          <w:szCs w:val="22"/>
        </w:rPr>
        <w:t>:</w:t>
      </w:r>
      <w:r w:rsidRPr="00CF51EE">
        <w:rPr>
          <w:sz w:val="22"/>
          <w:szCs w:val="22"/>
        </w:rPr>
        <w:tab/>
      </w:r>
      <w:r w:rsidR="00E07668">
        <w:rPr>
          <w:sz w:val="22"/>
          <w:szCs w:val="22"/>
        </w:rPr>
        <w:t>Alicia Maloy</w:t>
      </w:r>
      <w:r w:rsidRPr="00CF51EE">
        <w:rPr>
          <w:sz w:val="22"/>
          <w:szCs w:val="22"/>
        </w:rPr>
        <w:t xml:space="preserve">, </w:t>
      </w:r>
      <w:r w:rsidR="00906C61">
        <w:rPr>
          <w:sz w:val="22"/>
          <w:szCs w:val="22"/>
        </w:rPr>
        <w:t>Senior Infrastructure Analyst</w:t>
      </w:r>
    </w:p>
    <w:p w14:paraId="451A9287" w14:textId="0E8A2535" w:rsidR="00DA653C" w:rsidRPr="00CF51EE" w:rsidRDefault="00906C61" w:rsidP="00DA653C">
      <w:pPr>
        <w:tabs>
          <w:tab w:val="left" w:pos="1170"/>
        </w:tabs>
        <w:spacing w:after="120" w:line="360" w:lineRule="auto"/>
        <w:rPr>
          <w:sz w:val="22"/>
          <w:szCs w:val="22"/>
        </w:rPr>
      </w:pPr>
      <w:r>
        <w:rPr>
          <w:sz w:val="22"/>
          <w:szCs w:val="22"/>
        </w:rPr>
        <w:tab/>
      </w:r>
      <w:r w:rsidR="00DA653C">
        <w:rPr>
          <w:sz w:val="22"/>
          <w:szCs w:val="22"/>
        </w:rPr>
        <w:t xml:space="preserve">Infrastructure </w:t>
      </w:r>
      <w:r w:rsidR="00E07668">
        <w:rPr>
          <w:sz w:val="22"/>
          <w:szCs w:val="22"/>
        </w:rPr>
        <w:t>Division</w:t>
      </w:r>
    </w:p>
    <w:p w14:paraId="27742C4C" w14:textId="13672120" w:rsidR="00DA653C" w:rsidRPr="00CF51EE" w:rsidRDefault="00DA653C" w:rsidP="00DA653C">
      <w:pPr>
        <w:tabs>
          <w:tab w:val="left" w:pos="1170"/>
        </w:tabs>
        <w:spacing w:after="120" w:line="360" w:lineRule="auto"/>
        <w:rPr>
          <w:sz w:val="22"/>
          <w:szCs w:val="22"/>
        </w:rPr>
      </w:pPr>
      <w:r w:rsidRPr="00906C61">
        <w:rPr>
          <w:b/>
          <w:bCs/>
          <w:sz w:val="22"/>
          <w:szCs w:val="22"/>
        </w:rPr>
        <w:t>D</w:t>
      </w:r>
      <w:r w:rsidR="00EB12DA">
        <w:rPr>
          <w:b/>
          <w:bCs/>
          <w:sz w:val="22"/>
          <w:szCs w:val="22"/>
        </w:rPr>
        <w:t>ATE</w:t>
      </w:r>
      <w:r w:rsidRPr="00906C61">
        <w:rPr>
          <w:b/>
          <w:bCs/>
          <w:sz w:val="22"/>
          <w:szCs w:val="22"/>
        </w:rPr>
        <w:t>:</w:t>
      </w:r>
      <w:r w:rsidRPr="00CF51EE">
        <w:rPr>
          <w:sz w:val="22"/>
          <w:szCs w:val="22"/>
        </w:rPr>
        <w:tab/>
      </w:r>
      <w:r w:rsidR="00560162">
        <w:rPr>
          <w:sz w:val="22"/>
          <w:szCs w:val="22"/>
        </w:rPr>
        <w:t>November 9</w:t>
      </w:r>
      <w:r w:rsidR="00946D36">
        <w:rPr>
          <w:sz w:val="22"/>
          <w:szCs w:val="22"/>
        </w:rPr>
        <w:t>, 2020</w:t>
      </w:r>
    </w:p>
    <w:p w14:paraId="2ED41EA0" w14:textId="0892F800" w:rsidR="00DA653C" w:rsidRPr="008C4DDE" w:rsidRDefault="00DA653C" w:rsidP="008C4DDE">
      <w:pPr>
        <w:tabs>
          <w:tab w:val="left" w:pos="1170"/>
        </w:tabs>
        <w:spacing w:after="120"/>
        <w:ind w:left="1166" w:hanging="1166"/>
        <w:jc w:val="both"/>
        <w:rPr>
          <w:i/>
          <w:sz w:val="22"/>
          <w:szCs w:val="22"/>
        </w:rPr>
      </w:pPr>
      <w:r w:rsidRPr="00906C61">
        <w:rPr>
          <w:b/>
          <w:bCs/>
          <w:sz w:val="22"/>
          <w:szCs w:val="22"/>
        </w:rPr>
        <w:t>R</w:t>
      </w:r>
      <w:r w:rsidR="00EB12DA">
        <w:rPr>
          <w:b/>
          <w:bCs/>
          <w:sz w:val="22"/>
          <w:szCs w:val="22"/>
        </w:rPr>
        <w:t>E</w:t>
      </w:r>
      <w:r w:rsidRPr="00906C61">
        <w:rPr>
          <w:b/>
          <w:bCs/>
          <w:sz w:val="22"/>
          <w:szCs w:val="22"/>
        </w:rPr>
        <w:t>:</w:t>
      </w:r>
      <w:r w:rsidRPr="00CF51EE">
        <w:rPr>
          <w:sz w:val="22"/>
          <w:szCs w:val="22"/>
        </w:rPr>
        <w:tab/>
      </w:r>
      <w:r w:rsidR="008752DB">
        <w:rPr>
          <w:b/>
          <w:sz w:val="22"/>
          <w:szCs w:val="22"/>
        </w:rPr>
        <w:t xml:space="preserve">Docket No. </w:t>
      </w:r>
      <w:r w:rsidR="00946D36">
        <w:rPr>
          <w:b/>
          <w:sz w:val="22"/>
          <w:szCs w:val="22"/>
        </w:rPr>
        <w:t>5</w:t>
      </w:r>
      <w:r w:rsidR="00560162">
        <w:rPr>
          <w:b/>
          <w:sz w:val="22"/>
          <w:szCs w:val="22"/>
        </w:rPr>
        <w:t>1345</w:t>
      </w:r>
      <w:r w:rsidRPr="008C4DDE">
        <w:rPr>
          <w:sz w:val="22"/>
          <w:szCs w:val="22"/>
        </w:rPr>
        <w:t xml:space="preserve"> – </w:t>
      </w:r>
      <w:r w:rsidRPr="008C4DDE">
        <w:rPr>
          <w:i/>
          <w:sz w:val="22"/>
          <w:szCs w:val="22"/>
        </w:rPr>
        <w:t xml:space="preserve">Application of </w:t>
      </w:r>
      <w:r w:rsidR="00161934">
        <w:rPr>
          <w:i/>
          <w:sz w:val="22"/>
          <w:szCs w:val="22"/>
        </w:rPr>
        <w:t>Denton Municipal Electric Utility</w:t>
      </w:r>
      <w:r w:rsidR="00250ACD">
        <w:rPr>
          <w:i/>
          <w:sz w:val="22"/>
          <w:szCs w:val="22"/>
        </w:rPr>
        <w:t>.</w:t>
      </w:r>
      <w:r w:rsidR="000F2E1C">
        <w:rPr>
          <w:i/>
          <w:sz w:val="22"/>
          <w:szCs w:val="22"/>
        </w:rPr>
        <w:t xml:space="preserve"> </w:t>
      </w:r>
      <w:r w:rsidRPr="008C4DDE">
        <w:rPr>
          <w:i/>
          <w:sz w:val="22"/>
          <w:szCs w:val="22"/>
        </w:rPr>
        <w:t xml:space="preserve">for Interim Update </w:t>
      </w:r>
      <w:r w:rsidR="00324B30">
        <w:rPr>
          <w:i/>
          <w:sz w:val="22"/>
          <w:szCs w:val="22"/>
        </w:rPr>
        <w:t>of Wholesale Transmission Rates</w:t>
      </w:r>
    </w:p>
    <w:p w14:paraId="1AA7B0C0" w14:textId="77777777" w:rsidR="00DA653C" w:rsidRPr="00CF51EE" w:rsidRDefault="00DA653C" w:rsidP="00DA653C">
      <w:pPr>
        <w:pBdr>
          <w:bottom w:val="single" w:sz="4" w:space="1" w:color="auto"/>
        </w:pBdr>
        <w:tabs>
          <w:tab w:val="left" w:pos="1170"/>
        </w:tabs>
        <w:spacing w:after="120"/>
        <w:ind w:left="1166" w:hanging="1166"/>
        <w:rPr>
          <w:sz w:val="22"/>
          <w:szCs w:val="22"/>
        </w:rPr>
      </w:pPr>
    </w:p>
    <w:p w14:paraId="26F04264" w14:textId="77777777" w:rsidR="00646B62" w:rsidRDefault="00646B62" w:rsidP="00A9363F">
      <w:pPr>
        <w:tabs>
          <w:tab w:val="left" w:pos="1170"/>
        </w:tabs>
        <w:jc w:val="both"/>
        <w:rPr>
          <w:sz w:val="24"/>
        </w:rPr>
      </w:pPr>
    </w:p>
    <w:p w14:paraId="6A2FC706" w14:textId="77777777" w:rsidR="00646B62" w:rsidRDefault="00646B62" w:rsidP="00A9363F">
      <w:pPr>
        <w:tabs>
          <w:tab w:val="left" w:pos="1170"/>
        </w:tabs>
        <w:jc w:val="both"/>
        <w:rPr>
          <w:sz w:val="24"/>
        </w:rPr>
        <w:sectPr w:rsidR="00646B62">
          <w:headerReference w:type="default" r:id="rId8"/>
          <w:type w:val="continuous"/>
          <w:pgSz w:w="12240" w:h="15840"/>
          <w:pgMar w:top="720" w:right="1800" w:bottom="1440" w:left="1440" w:header="720" w:footer="720" w:gutter="0"/>
          <w:cols w:space="720"/>
        </w:sectPr>
      </w:pPr>
    </w:p>
    <w:p w14:paraId="4BD6B64E" w14:textId="54640392" w:rsidR="00BA0595" w:rsidRDefault="00E379BE" w:rsidP="00E07668">
      <w:pPr>
        <w:tabs>
          <w:tab w:val="left" w:pos="1170"/>
        </w:tabs>
        <w:spacing w:after="360" w:line="360" w:lineRule="auto"/>
        <w:jc w:val="both"/>
        <w:rPr>
          <w:sz w:val="24"/>
        </w:rPr>
      </w:pPr>
      <w:r>
        <w:rPr>
          <w:sz w:val="24"/>
        </w:rPr>
        <w:t>On</w:t>
      </w:r>
      <w:r w:rsidR="00B06D19">
        <w:rPr>
          <w:sz w:val="24"/>
        </w:rPr>
        <w:t xml:space="preserve"> </w:t>
      </w:r>
      <w:r w:rsidR="00560162">
        <w:rPr>
          <w:sz w:val="24"/>
        </w:rPr>
        <w:t>October 5, 2020</w:t>
      </w:r>
      <w:r w:rsidR="00636741">
        <w:rPr>
          <w:sz w:val="24"/>
        </w:rPr>
        <w:t>,</w:t>
      </w:r>
      <w:r w:rsidR="00F54024">
        <w:rPr>
          <w:sz w:val="24"/>
        </w:rPr>
        <w:t xml:space="preserve"> </w:t>
      </w:r>
      <w:r w:rsidR="00C21736">
        <w:rPr>
          <w:sz w:val="24"/>
        </w:rPr>
        <w:t>Denton Municipal Electric Utility (Denton</w:t>
      </w:r>
      <w:r>
        <w:rPr>
          <w:sz w:val="24"/>
        </w:rPr>
        <w:t>)</w:t>
      </w:r>
      <w:r w:rsidR="007A029F">
        <w:rPr>
          <w:sz w:val="24"/>
        </w:rPr>
        <w:t xml:space="preserve"> </w:t>
      </w:r>
      <w:r w:rsidR="00F54024">
        <w:rPr>
          <w:sz w:val="24"/>
        </w:rPr>
        <w:t xml:space="preserve">filed for approval of an update of wholesale transmission rates based on interim revision to its </w:t>
      </w:r>
      <w:r w:rsidR="00403D5E">
        <w:rPr>
          <w:sz w:val="24"/>
        </w:rPr>
        <w:t>previously approved</w:t>
      </w:r>
      <w:r w:rsidR="00F54024">
        <w:rPr>
          <w:sz w:val="24"/>
        </w:rPr>
        <w:t xml:space="preserve"> transmission cost of service (TCOS) rates, </w:t>
      </w:r>
      <w:r w:rsidR="00560162">
        <w:rPr>
          <w:sz w:val="24"/>
        </w:rPr>
        <w:t>under</w:t>
      </w:r>
      <w:r w:rsidR="005B2FF9">
        <w:rPr>
          <w:sz w:val="24"/>
        </w:rPr>
        <w:t xml:space="preserve"> </w:t>
      </w:r>
      <w:r w:rsidR="00A31CA1">
        <w:rPr>
          <w:sz w:val="24"/>
        </w:rPr>
        <w:t>16 Tex</w:t>
      </w:r>
      <w:r w:rsidR="00B06D19">
        <w:rPr>
          <w:sz w:val="24"/>
        </w:rPr>
        <w:t>as</w:t>
      </w:r>
      <w:r w:rsidR="00A31CA1">
        <w:rPr>
          <w:sz w:val="24"/>
        </w:rPr>
        <w:t xml:space="preserve"> Admin</w:t>
      </w:r>
      <w:r w:rsidR="00B06D19">
        <w:rPr>
          <w:sz w:val="24"/>
        </w:rPr>
        <w:t>istrative</w:t>
      </w:r>
      <w:r w:rsidR="00A31CA1">
        <w:rPr>
          <w:sz w:val="24"/>
        </w:rPr>
        <w:t xml:space="preserve"> Code §</w:t>
      </w:r>
      <w:r w:rsidR="005B2FF9">
        <w:rPr>
          <w:sz w:val="24"/>
        </w:rPr>
        <w:t xml:space="preserve"> 25.192(h</w:t>
      </w:r>
      <w:r w:rsidR="00F54024">
        <w:rPr>
          <w:sz w:val="24"/>
        </w:rPr>
        <w:t>)(1)</w:t>
      </w:r>
      <w:r w:rsidR="00A31CA1">
        <w:rPr>
          <w:sz w:val="24"/>
        </w:rPr>
        <w:t xml:space="preserve"> (TAC)</w:t>
      </w:r>
      <w:r w:rsidR="00F54024">
        <w:rPr>
          <w:sz w:val="24"/>
        </w:rPr>
        <w:t>.</w:t>
      </w:r>
      <w:r w:rsidR="005C6323">
        <w:rPr>
          <w:sz w:val="24"/>
        </w:rPr>
        <w:t xml:space="preserve">  </w:t>
      </w:r>
    </w:p>
    <w:p w14:paraId="1B9546FA" w14:textId="071CB96A" w:rsidR="00BC43B6" w:rsidRDefault="00E67220" w:rsidP="00E07668">
      <w:pPr>
        <w:tabs>
          <w:tab w:val="left" w:pos="1170"/>
        </w:tabs>
        <w:spacing w:after="360" w:line="360" w:lineRule="auto"/>
        <w:jc w:val="both"/>
        <w:rPr>
          <w:sz w:val="24"/>
        </w:rPr>
      </w:pPr>
      <w:r>
        <w:rPr>
          <w:sz w:val="24"/>
        </w:rPr>
        <w:t xml:space="preserve">Under </w:t>
      </w:r>
      <w:r w:rsidR="00A31CA1">
        <w:rPr>
          <w:sz w:val="24"/>
        </w:rPr>
        <w:t>16 TAC §</w:t>
      </w:r>
      <w:r w:rsidR="00646B62">
        <w:rPr>
          <w:sz w:val="24"/>
        </w:rPr>
        <w:t xml:space="preserve"> </w:t>
      </w:r>
      <w:r w:rsidR="002D502C">
        <w:rPr>
          <w:sz w:val="24"/>
        </w:rPr>
        <w:t>25.192(h</w:t>
      </w:r>
      <w:r w:rsidR="005C6323">
        <w:rPr>
          <w:sz w:val="24"/>
        </w:rPr>
        <w:t>)</w:t>
      </w:r>
      <w:r w:rsidR="00F54024">
        <w:rPr>
          <w:sz w:val="24"/>
        </w:rPr>
        <w:t>(1)</w:t>
      </w:r>
      <w:r>
        <w:rPr>
          <w:sz w:val="24"/>
        </w:rPr>
        <w:t>,</w:t>
      </w:r>
      <w:r w:rsidR="00F54024">
        <w:rPr>
          <w:sz w:val="24"/>
        </w:rPr>
        <w:t xml:space="preserve"> each transmission service provider</w:t>
      </w:r>
      <w:r w:rsidR="002D502C">
        <w:rPr>
          <w:sz w:val="24"/>
        </w:rPr>
        <w:t xml:space="preserve"> (TSP) in the ERCOT region may apply to </w:t>
      </w:r>
      <w:r w:rsidR="00F54024">
        <w:rPr>
          <w:sz w:val="24"/>
        </w:rPr>
        <w:t xml:space="preserve">update its transmission rates </w:t>
      </w:r>
      <w:r w:rsidR="002D502C">
        <w:rPr>
          <w:sz w:val="24"/>
        </w:rPr>
        <w:t xml:space="preserve">on an interim basis not more than </w:t>
      </w:r>
      <w:r w:rsidR="00DC6CE7">
        <w:rPr>
          <w:sz w:val="24"/>
        </w:rPr>
        <w:t>twice</w:t>
      </w:r>
      <w:r w:rsidR="002D502C">
        <w:rPr>
          <w:sz w:val="24"/>
        </w:rPr>
        <w:t xml:space="preserve"> per calendar year </w:t>
      </w:r>
      <w:r w:rsidR="00F54024">
        <w:rPr>
          <w:sz w:val="24"/>
        </w:rPr>
        <w:t xml:space="preserve">to reflect changes in its invested capital.  </w:t>
      </w:r>
      <w:r w:rsidR="00646B62">
        <w:rPr>
          <w:sz w:val="24"/>
        </w:rPr>
        <w:t>Further, i</w:t>
      </w:r>
      <w:r w:rsidR="00F54024">
        <w:rPr>
          <w:sz w:val="24"/>
        </w:rPr>
        <w:t xml:space="preserve">f the TSP elects to update its transmission rates, the new rates shall reflect the addition and retirement of transmission facilities and include appropriate depreciation, federal income tax and other associated taxes, and the </w:t>
      </w:r>
      <w:r w:rsidR="00200638">
        <w:rPr>
          <w:sz w:val="24"/>
        </w:rPr>
        <w:t>C</w:t>
      </w:r>
      <w:r w:rsidR="00F54024">
        <w:rPr>
          <w:sz w:val="24"/>
        </w:rPr>
        <w:t>ommission-allowed rate of return on such facilities</w:t>
      </w:r>
      <w:r>
        <w:rPr>
          <w:sz w:val="24"/>
        </w:rPr>
        <w:t>,</w:t>
      </w:r>
      <w:r w:rsidR="00F54024">
        <w:rPr>
          <w:sz w:val="24"/>
        </w:rPr>
        <w:t xml:space="preserve"> as well as changes in loads.</w:t>
      </w:r>
    </w:p>
    <w:p w14:paraId="0857EBCA" w14:textId="09F5B989" w:rsidR="00467F06" w:rsidRDefault="00560162" w:rsidP="00E07668">
      <w:pPr>
        <w:tabs>
          <w:tab w:val="left" w:pos="1170"/>
        </w:tabs>
        <w:spacing w:after="360" w:line="360" w:lineRule="auto"/>
        <w:jc w:val="both"/>
        <w:rPr>
          <w:sz w:val="24"/>
        </w:rPr>
      </w:pPr>
      <w:r>
        <w:rPr>
          <w:sz w:val="24"/>
        </w:rPr>
        <w:t>T</w:t>
      </w:r>
      <w:r w:rsidR="006C37B7">
        <w:rPr>
          <w:sz w:val="24"/>
        </w:rPr>
        <w:t xml:space="preserve">he </w:t>
      </w:r>
      <w:r>
        <w:rPr>
          <w:sz w:val="24"/>
        </w:rPr>
        <w:t>increase in</w:t>
      </w:r>
      <w:r w:rsidR="006C37B7">
        <w:rPr>
          <w:sz w:val="24"/>
        </w:rPr>
        <w:t xml:space="preserve"> transmission depr</w:t>
      </w:r>
      <w:r w:rsidR="00851307">
        <w:rPr>
          <w:sz w:val="24"/>
        </w:rPr>
        <w:t xml:space="preserve">eciation expense </w:t>
      </w:r>
      <w:r w:rsidR="00851307" w:rsidRPr="0013571A">
        <w:rPr>
          <w:sz w:val="24"/>
        </w:rPr>
        <w:t xml:space="preserve">of </w:t>
      </w:r>
      <w:r w:rsidR="00C21736">
        <w:rPr>
          <w:sz w:val="24"/>
        </w:rPr>
        <w:t>$</w:t>
      </w:r>
      <w:r>
        <w:rPr>
          <w:sz w:val="24"/>
        </w:rPr>
        <w:t>1,574,058</w:t>
      </w:r>
      <w:r w:rsidR="00391E9D">
        <w:rPr>
          <w:rStyle w:val="FootnoteReference"/>
          <w:sz w:val="24"/>
        </w:rPr>
        <w:footnoteReference w:id="1"/>
      </w:r>
      <w:r w:rsidR="00D04EA5" w:rsidRPr="0013571A">
        <w:rPr>
          <w:sz w:val="24"/>
        </w:rPr>
        <w:t xml:space="preserve"> </w:t>
      </w:r>
      <w:r w:rsidR="006C37B7" w:rsidRPr="0013571A">
        <w:rPr>
          <w:sz w:val="24"/>
        </w:rPr>
        <w:t>and</w:t>
      </w:r>
      <w:r w:rsidR="006C37B7">
        <w:rPr>
          <w:sz w:val="24"/>
        </w:rPr>
        <w:t xml:space="preserve"> the total electric accumulated</w:t>
      </w:r>
      <w:r w:rsidR="00034F93">
        <w:rPr>
          <w:sz w:val="24"/>
        </w:rPr>
        <w:t xml:space="preserve"> depreciation </w:t>
      </w:r>
      <w:r w:rsidR="00034F93" w:rsidRPr="001A5BFC">
        <w:rPr>
          <w:sz w:val="24"/>
        </w:rPr>
        <w:t>of $</w:t>
      </w:r>
      <w:r>
        <w:rPr>
          <w:sz w:val="24"/>
        </w:rPr>
        <w:t>30,969,508</w:t>
      </w:r>
      <w:r w:rsidR="00391E9D">
        <w:rPr>
          <w:rStyle w:val="FootnoteReference"/>
          <w:sz w:val="24"/>
        </w:rPr>
        <w:footnoteReference w:id="2"/>
      </w:r>
      <w:r w:rsidR="00034F93" w:rsidRPr="001A5BFC">
        <w:rPr>
          <w:sz w:val="24"/>
        </w:rPr>
        <w:t xml:space="preserve"> </w:t>
      </w:r>
      <w:r w:rsidR="006C37B7" w:rsidRPr="001A5BFC">
        <w:rPr>
          <w:sz w:val="24"/>
        </w:rPr>
        <w:t>are</w:t>
      </w:r>
      <w:r w:rsidR="006C37B7">
        <w:rPr>
          <w:sz w:val="24"/>
        </w:rPr>
        <w:t xml:space="preserve"> reasonable.  </w:t>
      </w:r>
      <w:r w:rsidR="008637D8">
        <w:rPr>
          <w:sz w:val="24"/>
        </w:rPr>
        <w:t xml:space="preserve">Commission </w:t>
      </w:r>
      <w:r w:rsidR="00E67220">
        <w:rPr>
          <w:sz w:val="24"/>
        </w:rPr>
        <w:t>S</w:t>
      </w:r>
      <w:r w:rsidR="008637D8">
        <w:rPr>
          <w:sz w:val="24"/>
        </w:rPr>
        <w:t>taff’s review of depreciation is only a conditional review</w:t>
      </w:r>
      <w:r w:rsidR="00646B62">
        <w:rPr>
          <w:sz w:val="24"/>
        </w:rPr>
        <w:t xml:space="preserve"> </w:t>
      </w:r>
      <w:r w:rsidR="008637D8">
        <w:rPr>
          <w:sz w:val="24"/>
        </w:rPr>
        <w:t xml:space="preserve">and is not the final determination </w:t>
      </w:r>
      <w:r w:rsidR="005C6323">
        <w:rPr>
          <w:sz w:val="24"/>
        </w:rPr>
        <w:t>of its</w:t>
      </w:r>
      <w:r w:rsidR="008637D8">
        <w:rPr>
          <w:sz w:val="24"/>
        </w:rPr>
        <w:t xml:space="preserve"> appropriateness</w:t>
      </w:r>
      <w:r w:rsidR="005C6323">
        <w:rPr>
          <w:sz w:val="24"/>
        </w:rPr>
        <w:t xml:space="preserve">.  As </w:t>
      </w:r>
      <w:r w:rsidR="006464DE">
        <w:rPr>
          <w:sz w:val="24"/>
        </w:rPr>
        <w:t xml:space="preserve">16 TAC </w:t>
      </w:r>
      <w:r w:rsidR="00646B62">
        <w:rPr>
          <w:sz w:val="24"/>
        </w:rPr>
        <w:t xml:space="preserve">§ </w:t>
      </w:r>
      <w:r w:rsidR="006160FE">
        <w:rPr>
          <w:sz w:val="24"/>
        </w:rPr>
        <w:t>25.192(h</w:t>
      </w:r>
      <w:r w:rsidR="0043012A">
        <w:rPr>
          <w:sz w:val="24"/>
        </w:rPr>
        <w:t>)</w:t>
      </w:r>
      <w:r w:rsidR="005C6323">
        <w:rPr>
          <w:sz w:val="24"/>
        </w:rPr>
        <w:t xml:space="preserve">(2) states, an update of transmission rates shall be subject to reconciliation at the </w:t>
      </w:r>
      <w:r w:rsidR="00BE5886">
        <w:rPr>
          <w:sz w:val="24"/>
        </w:rPr>
        <w:t>next complete review of the TSP</w:t>
      </w:r>
      <w:r w:rsidR="005C6323">
        <w:rPr>
          <w:sz w:val="24"/>
        </w:rPr>
        <w:t>s’ transmission cost of service.</w:t>
      </w:r>
      <w:r w:rsidR="008637D8">
        <w:rPr>
          <w:sz w:val="24"/>
        </w:rPr>
        <w:t xml:space="preserve"> </w:t>
      </w:r>
    </w:p>
    <w:p w14:paraId="2FFD5E3B" w14:textId="5640319C" w:rsidR="00467F06" w:rsidRDefault="00560162" w:rsidP="0013668B">
      <w:pPr>
        <w:tabs>
          <w:tab w:val="left" w:pos="1170"/>
        </w:tabs>
        <w:spacing w:after="120" w:line="360" w:lineRule="auto"/>
        <w:jc w:val="both"/>
        <w:rPr>
          <w:sz w:val="24"/>
        </w:rPr>
      </w:pPr>
      <w:r>
        <w:rPr>
          <w:sz w:val="24"/>
        </w:rPr>
        <w:lastRenderedPageBreak/>
        <w:t>T</w:t>
      </w:r>
      <w:r w:rsidR="00467F06">
        <w:rPr>
          <w:sz w:val="24"/>
        </w:rPr>
        <w:t>h</w:t>
      </w:r>
      <w:r w:rsidR="006160FE">
        <w:rPr>
          <w:sz w:val="24"/>
        </w:rPr>
        <w:t>erefore</w:t>
      </w:r>
      <w:r w:rsidR="00934E9E">
        <w:rPr>
          <w:sz w:val="24"/>
        </w:rPr>
        <w:t>,</w:t>
      </w:r>
      <w:r w:rsidR="006160FE">
        <w:rPr>
          <w:sz w:val="24"/>
        </w:rPr>
        <w:t xml:space="preserve"> </w:t>
      </w:r>
      <w:r>
        <w:rPr>
          <w:sz w:val="24"/>
        </w:rPr>
        <w:t xml:space="preserve">I </w:t>
      </w:r>
      <w:r w:rsidR="006160FE">
        <w:rPr>
          <w:sz w:val="24"/>
        </w:rPr>
        <w:t>recommend that</w:t>
      </w:r>
      <w:r w:rsidR="00324B30">
        <w:rPr>
          <w:sz w:val="24"/>
        </w:rPr>
        <w:t xml:space="preserve"> </w:t>
      </w:r>
      <w:r w:rsidR="00BA0595">
        <w:rPr>
          <w:sz w:val="24"/>
        </w:rPr>
        <w:t>Denton</w:t>
      </w:r>
      <w:r w:rsidR="00200638">
        <w:rPr>
          <w:sz w:val="24"/>
        </w:rPr>
        <w:t>’s</w:t>
      </w:r>
      <w:r w:rsidR="000F2E1C">
        <w:rPr>
          <w:sz w:val="24"/>
        </w:rPr>
        <w:t xml:space="preserve"> </w:t>
      </w:r>
      <w:r w:rsidR="00E379BE">
        <w:rPr>
          <w:sz w:val="24"/>
        </w:rPr>
        <w:t>applica</w:t>
      </w:r>
      <w:bookmarkStart w:id="0" w:name="_GoBack"/>
      <w:bookmarkEnd w:id="0"/>
      <w:r w:rsidR="00E379BE">
        <w:rPr>
          <w:sz w:val="24"/>
        </w:rPr>
        <w:t xml:space="preserve">tion </w:t>
      </w:r>
      <w:r w:rsidR="00467F06">
        <w:rPr>
          <w:sz w:val="24"/>
        </w:rPr>
        <w:t>be ap</w:t>
      </w:r>
      <w:r w:rsidR="00E379BE">
        <w:rPr>
          <w:sz w:val="24"/>
        </w:rPr>
        <w:t>prove</w:t>
      </w:r>
      <w:r w:rsidR="006160FE">
        <w:rPr>
          <w:sz w:val="24"/>
        </w:rPr>
        <w:t>d</w:t>
      </w:r>
      <w:r w:rsidR="00E67220">
        <w:rPr>
          <w:sz w:val="24"/>
        </w:rPr>
        <w:t>,</w:t>
      </w:r>
      <w:r w:rsidR="00DD21B4">
        <w:rPr>
          <w:sz w:val="24"/>
        </w:rPr>
        <w:t xml:space="preserve"> </w:t>
      </w:r>
      <w:r w:rsidR="00467F06">
        <w:rPr>
          <w:sz w:val="24"/>
        </w:rPr>
        <w:t xml:space="preserve">subject to a more comprehensive analysis and reconciliation at the </w:t>
      </w:r>
      <w:r w:rsidR="006160FE">
        <w:rPr>
          <w:sz w:val="24"/>
        </w:rPr>
        <w:t>next complete review of</w:t>
      </w:r>
      <w:r w:rsidR="000F2E1C">
        <w:rPr>
          <w:sz w:val="24"/>
        </w:rPr>
        <w:t xml:space="preserve"> </w:t>
      </w:r>
      <w:r w:rsidR="00BA0595">
        <w:rPr>
          <w:sz w:val="24"/>
        </w:rPr>
        <w:t>Denton</w:t>
      </w:r>
      <w:r w:rsidR="00EC66CE">
        <w:rPr>
          <w:sz w:val="24"/>
        </w:rPr>
        <w:t xml:space="preserve">’s </w:t>
      </w:r>
      <w:r w:rsidR="00467F06">
        <w:rPr>
          <w:sz w:val="24"/>
        </w:rPr>
        <w:t>cost</w:t>
      </w:r>
      <w:r w:rsidR="006160FE">
        <w:rPr>
          <w:sz w:val="24"/>
        </w:rPr>
        <w:t xml:space="preserve"> of service </w:t>
      </w:r>
      <w:r>
        <w:rPr>
          <w:sz w:val="24"/>
        </w:rPr>
        <w:t>under</w:t>
      </w:r>
      <w:r w:rsidR="006160FE">
        <w:rPr>
          <w:sz w:val="24"/>
        </w:rPr>
        <w:t xml:space="preserve"> </w:t>
      </w:r>
      <w:r w:rsidR="006464DE">
        <w:rPr>
          <w:sz w:val="24"/>
        </w:rPr>
        <w:t xml:space="preserve">16 TAC § </w:t>
      </w:r>
      <w:r w:rsidR="006160FE">
        <w:rPr>
          <w:sz w:val="24"/>
        </w:rPr>
        <w:t>25.192(h</w:t>
      </w:r>
      <w:r w:rsidR="00467F06">
        <w:rPr>
          <w:sz w:val="24"/>
        </w:rPr>
        <w:t>)(2).</w:t>
      </w:r>
    </w:p>
    <w:p w14:paraId="2614B99A" w14:textId="77777777" w:rsidR="007E7A7A" w:rsidRDefault="007E7A7A" w:rsidP="006A11A8">
      <w:pPr>
        <w:jc w:val="both"/>
      </w:pPr>
    </w:p>
    <w:p w14:paraId="796A0FAB" w14:textId="77777777" w:rsidR="007E7A7A" w:rsidRDefault="007E7A7A">
      <w:pPr>
        <w:tabs>
          <w:tab w:val="left" w:pos="1170"/>
        </w:tabs>
        <w:rPr>
          <w:sz w:val="24"/>
        </w:rPr>
      </w:pPr>
    </w:p>
    <w:sectPr w:rsidR="007E7A7A" w:rsidSect="00896E68">
      <w:headerReference w:type="default" r:id="rId9"/>
      <w:type w:val="continuous"/>
      <w:pgSz w:w="12240" w:h="15840"/>
      <w:pgMar w:top="252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F345B" w14:textId="77777777" w:rsidR="007E487A" w:rsidRDefault="007E487A">
      <w:r>
        <w:separator/>
      </w:r>
    </w:p>
  </w:endnote>
  <w:endnote w:type="continuationSeparator" w:id="0">
    <w:p w14:paraId="677837B5" w14:textId="77777777" w:rsidR="007E487A" w:rsidRDefault="007E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1665D" w14:textId="77777777" w:rsidR="007E7A7A" w:rsidRDefault="007E7A7A">
    <w:pPr>
      <w:pStyle w:val="Footer"/>
    </w:pPr>
    <w:r>
      <w:rPr>
        <w:snapToGrid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D163B" w14:textId="77777777" w:rsidR="007E487A" w:rsidRDefault="007E487A">
      <w:r>
        <w:separator/>
      </w:r>
    </w:p>
  </w:footnote>
  <w:footnote w:type="continuationSeparator" w:id="0">
    <w:p w14:paraId="5E854FFF" w14:textId="77777777" w:rsidR="007E487A" w:rsidRDefault="007E487A">
      <w:r>
        <w:continuationSeparator/>
      </w:r>
    </w:p>
  </w:footnote>
  <w:footnote w:id="1">
    <w:p w14:paraId="7B588EE7" w14:textId="68C5EE42" w:rsidR="00391E9D" w:rsidRPr="00391E9D" w:rsidRDefault="00391E9D" w:rsidP="00334079">
      <w:pPr>
        <w:pStyle w:val="FootnoteText"/>
        <w:spacing w:after="120"/>
      </w:pPr>
      <w:r>
        <w:rPr>
          <w:rStyle w:val="FootnoteReference"/>
        </w:rPr>
        <w:footnoteRef/>
      </w:r>
      <w:r w:rsidR="0000373E">
        <w:t xml:space="preserve"> </w:t>
      </w:r>
      <w:r w:rsidR="00C21736">
        <w:t>DME 20</w:t>
      </w:r>
      <w:r w:rsidR="00560162">
        <w:t>20</w:t>
      </w:r>
      <w:r w:rsidR="00C21736">
        <w:t xml:space="preserve"> Interim TCOS </w:t>
      </w:r>
      <w:r w:rsidR="00560162">
        <w:t>Application Schedules and Workpapers</w:t>
      </w:r>
      <w:r w:rsidR="00C21736">
        <w:t xml:space="preserve">, Schedule E-1 </w:t>
      </w:r>
      <w:r w:rsidR="00BA0595">
        <w:t>(</w:t>
      </w:r>
      <w:r w:rsidR="00560162">
        <w:t>October 5</w:t>
      </w:r>
      <w:r w:rsidR="00BA0595">
        <w:t>, 2020)</w:t>
      </w:r>
      <w:r>
        <w:t xml:space="preserve">. </w:t>
      </w:r>
    </w:p>
  </w:footnote>
  <w:footnote w:id="2">
    <w:p w14:paraId="49FBFA37" w14:textId="48CE8E00" w:rsidR="00391E9D" w:rsidRPr="00391E9D" w:rsidRDefault="00391E9D">
      <w:pPr>
        <w:pStyle w:val="FootnoteText"/>
      </w:pPr>
      <w:r>
        <w:rPr>
          <w:rStyle w:val="FootnoteReference"/>
        </w:rPr>
        <w:footnoteRef/>
      </w:r>
      <w:r>
        <w:t xml:space="preserve"> </w:t>
      </w:r>
      <w:r w:rsidR="00BA0595">
        <w:t>DME 20</w:t>
      </w:r>
      <w:r w:rsidR="00560162">
        <w:t>20</w:t>
      </w:r>
      <w:r w:rsidR="00BA0595">
        <w:t xml:space="preserve"> Interim TCOS </w:t>
      </w:r>
      <w:r w:rsidR="00560162">
        <w:t>Application Schedules and Workpapers</w:t>
      </w:r>
      <w:r w:rsidR="00BA0595">
        <w:t>, Schedule B-5 (</w:t>
      </w:r>
      <w:r w:rsidR="00560162">
        <w:t>October 5</w:t>
      </w:r>
      <w:r w:rsidR="00BA0595">
        <w:t>,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C6089" w14:textId="77777777" w:rsidR="007E7A7A" w:rsidRDefault="007E7A7A">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45306BF1" w14:textId="77777777" w:rsidR="007E7A7A" w:rsidRDefault="007E7A7A">
    <w:pPr>
      <w:pStyle w:val="Header"/>
      <w:tabs>
        <w:tab w:val="clear" w:pos="4320"/>
        <w:tab w:val="left" w:pos="1800"/>
        <w:tab w:val="left" w:pos="6840"/>
      </w:tabs>
      <w:spacing w:before="120" w:after="120"/>
      <w:rPr>
        <w:b/>
        <w:sz w:val="12"/>
      </w:rPr>
    </w:pPr>
    <w:r>
      <w:rPr>
        <w:b/>
        <w:sz w:val="12"/>
      </w:rPr>
      <w:tab/>
    </w:r>
    <w:r>
      <w:rPr>
        <w:b/>
        <w:sz w:val="12"/>
        <w:u w:val="single"/>
      </w:rPr>
      <w:tab/>
    </w:r>
  </w:p>
  <w:p w14:paraId="6DA9E646" w14:textId="77777777" w:rsidR="007E7A7A" w:rsidRDefault="007E7A7A">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DC059" w14:textId="77777777" w:rsidR="00646B62" w:rsidRDefault="00646B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F077E" w14:textId="77777777" w:rsidR="007E7A7A" w:rsidRDefault="007E7A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3E3"/>
    <w:rsid w:val="0000373E"/>
    <w:rsid w:val="000073D5"/>
    <w:rsid w:val="00031194"/>
    <w:rsid w:val="00034F93"/>
    <w:rsid w:val="0004665D"/>
    <w:rsid w:val="00056FB0"/>
    <w:rsid w:val="00064B1E"/>
    <w:rsid w:val="00086183"/>
    <w:rsid w:val="000871C4"/>
    <w:rsid w:val="00092A53"/>
    <w:rsid w:val="000B557F"/>
    <w:rsid w:val="000C1E2B"/>
    <w:rsid w:val="000C513E"/>
    <w:rsid w:val="000D64F7"/>
    <w:rsid w:val="000E0074"/>
    <w:rsid w:val="000E399F"/>
    <w:rsid w:val="000E6B9D"/>
    <w:rsid w:val="000F2E1C"/>
    <w:rsid w:val="000F5C1A"/>
    <w:rsid w:val="00132EE9"/>
    <w:rsid w:val="0013571A"/>
    <w:rsid w:val="0013668B"/>
    <w:rsid w:val="001476A7"/>
    <w:rsid w:val="00150413"/>
    <w:rsid w:val="00155CC5"/>
    <w:rsid w:val="00161934"/>
    <w:rsid w:val="001728CF"/>
    <w:rsid w:val="00174AB1"/>
    <w:rsid w:val="001911D4"/>
    <w:rsid w:val="001A312B"/>
    <w:rsid w:val="001A5BFC"/>
    <w:rsid w:val="001A5D07"/>
    <w:rsid w:val="001E22D3"/>
    <w:rsid w:val="001E544D"/>
    <w:rsid w:val="00200638"/>
    <w:rsid w:val="00214109"/>
    <w:rsid w:val="00217A38"/>
    <w:rsid w:val="00221CA6"/>
    <w:rsid w:val="00250ACD"/>
    <w:rsid w:val="00260C56"/>
    <w:rsid w:val="002627B9"/>
    <w:rsid w:val="002661B5"/>
    <w:rsid w:val="0026687D"/>
    <w:rsid w:val="00276B07"/>
    <w:rsid w:val="002D1117"/>
    <w:rsid w:val="002D502C"/>
    <w:rsid w:val="002D73E3"/>
    <w:rsid w:val="002F5818"/>
    <w:rsid w:val="002F78C5"/>
    <w:rsid w:val="003002D7"/>
    <w:rsid w:val="00324B30"/>
    <w:rsid w:val="003307DC"/>
    <w:rsid w:val="00334079"/>
    <w:rsid w:val="0033782B"/>
    <w:rsid w:val="0034405A"/>
    <w:rsid w:val="00355567"/>
    <w:rsid w:val="0036438D"/>
    <w:rsid w:val="00365919"/>
    <w:rsid w:val="00372B77"/>
    <w:rsid w:val="00376958"/>
    <w:rsid w:val="00386210"/>
    <w:rsid w:val="00391E9D"/>
    <w:rsid w:val="003966A2"/>
    <w:rsid w:val="003B5DA9"/>
    <w:rsid w:val="003C061B"/>
    <w:rsid w:val="003E012B"/>
    <w:rsid w:val="003F49C7"/>
    <w:rsid w:val="003F610E"/>
    <w:rsid w:val="00403D5E"/>
    <w:rsid w:val="004040D3"/>
    <w:rsid w:val="00410693"/>
    <w:rsid w:val="0041173D"/>
    <w:rsid w:val="0043012A"/>
    <w:rsid w:val="004312F4"/>
    <w:rsid w:val="0043231A"/>
    <w:rsid w:val="0043782B"/>
    <w:rsid w:val="00447238"/>
    <w:rsid w:val="00462321"/>
    <w:rsid w:val="00467F06"/>
    <w:rsid w:val="004B67DA"/>
    <w:rsid w:val="004D2198"/>
    <w:rsid w:val="004D7E5D"/>
    <w:rsid w:val="004F2239"/>
    <w:rsid w:val="0050237B"/>
    <w:rsid w:val="005038BA"/>
    <w:rsid w:val="00506963"/>
    <w:rsid w:val="00511A5A"/>
    <w:rsid w:val="00522233"/>
    <w:rsid w:val="00535752"/>
    <w:rsid w:val="00550AB8"/>
    <w:rsid w:val="00555279"/>
    <w:rsid w:val="00560162"/>
    <w:rsid w:val="0059098E"/>
    <w:rsid w:val="00594B28"/>
    <w:rsid w:val="005B2FF9"/>
    <w:rsid w:val="005C1FC3"/>
    <w:rsid w:val="005C2BAC"/>
    <w:rsid w:val="005C6323"/>
    <w:rsid w:val="005D7646"/>
    <w:rsid w:val="005E68C0"/>
    <w:rsid w:val="006074CE"/>
    <w:rsid w:val="0061002F"/>
    <w:rsid w:val="006108A6"/>
    <w:rsid w:val="006160FE"/>
    <w:rsid w:val="006258D4"/>
    <w:rsid w:val="00630DC5"/>
    <w:rsid w:val="006314E2"/>
    <w:rsid w:val="00636741"/>
    <w:rsid w:val="006464DE"/>
    <w:rsid w:val="00646B62"/>
    <w:rsid w:val="006566A4"/>
    <w:rsid w:val="0066193A"/>
    <w:rsid w:val="0066301A"/>
    <w:rsid w:val="00681019"/>
    <w:rsid w:val="00681B7A"/>
    <w:rsid w:val="0069672D"/>
    <w:rsid w:val="006A11A8"/>
    <w:rsid w:val="006A7B03"/>
    <w:rsid w:val="006B5D1B"/>
    <w:rsid w:val="006C3711"/>
    <w:rsid w:val="006C37B7"/>
    <w:rsid w:val="006C6B04"/>
    <w:rsid w:val="006D4ED7"/>
    <w:rsid w:val="006E0802"/>
    <w:rsid w:val="006E1CCE"/>
    <w:rsid w:val="007107D8"/>
    <w:rsid w:val="007546F7"/>
    <w:rsid w:val="00757009"/>
    <w:rsid w:val="007575BD"/>
    <w:rsid w:val="007735BD"/>
    <w:rsid w:val="007927E3"/>
    <w:rsid w:val="00793384"/>
    <w:rsid w:val="007A029F"/>
    <w:rsid w:val="007D4024"/>
    <w:rsid w:val="007E487A"/>
    <w:rsid w:val="007E7A7A"/>
    <w:rsid w:val="00814FCD"/>
    <w:rsid w:val="008179C6"/>
    <w:rsid w:val="00822254"/>
    <w:rsid w:val="00824053"/>
    <w:rsid w:val="00827AFE"/>
    <w:rsid w:val="00835BAC"/>
    <w:rsid w:val="00836967"/>
    <w:rsid w:val="008460B8"/>
    <w:rsid w:val="00851307"/>
    <w:rsid w:val="00861560"/>
    <w:rsid w:val="008637D8"/>
    <w:rsid w:val="00866D4B"/>
    <w:rsid w:val="008752DB"/>
    <w:rsid w:val="0088045F"/>
    <w:rsid w:val="0088133C"/>
    <w:rsid w:val="00882D52"/>
    <w:rsid w:val="00884813"/>
    <w:rsid w:val="00893A80"/>
    <w:rsid w:val="00896E68"/>
    <w:rsid w:val="00897EA8"/>
    <w:rsid w:val="008A2CBB"/>
    <w:rsid w:val="008C19BC"/>
    <w:rsid w:val="008C4DDE"/>
    <w:rsid w:val="008E0C4B"/>
    <w:rsid w:val="00906C61"/>
    <w:rsid w:val="00913F1B"/>
    <w:rsid w:val="00925437"/>
    <w:rsid w:val="00930A60"/>
    <w:rsid w:val="00934E9E"/>
    <w:rsid w:val="009440F2"/>
    <w:rsid w:val="00946D36"/>
    <w:rsid w:val="00947198"/>
    <w:rsid w:val="009518A6"/>
    <w:rsid w:val="009602DD"/>
    <w:rsid w:val="00962EFA"/>
    <w:rsid w:val="00970D09"/>
    <w:rsid w:val="00985976"/>
    <w:rsid w:val="0099000E"/>
    <w:rsid w:val="009B0193"/>
    <w:rsid w:val="009B36F9"/>
    <w:rsid w:val="009F050B"/>
    <w:rsid w:val="00A104C2"/>
    <w:rsid w:val="00A11849"/>
    <w:rsid w:val="00A31CA1"/>
    <w:rsid w:val="00A47BE5"/>
    <w:rsid w:val="00A47D79"/>
    <w:rsid w:val="00A6197F"/>
    <w:rsid w:val="00A74569"/>
    <w:rsid w:val="00A86E72"/>
    <w:rsid w:val="00A9363F"/>
    <w:rsid w:val="00AB5B2F"/>
    <w:rsid w:val="00AC2D27"/>
    <w:rsid w:val="00AD4DF6"/>
    <w:rsid w:val="00AD656E"/>
    <w:rsid w:val="00AE2398"/>
    <w:rsid w:val="00AE6049"/>
    <w:rsid w:val="00B04C3D"/>
    <w:rsid w:val="00B06D19"/>
    <w:rsid w:val="00B10CBD"/>
    <w:rsid w:val="00B13443"/>
    <w:rsid w:val="00B21220"/>
    <w:rsid w:val="00B506D2"/>
    <w:rsid w:val="00B510BD"/>
    <w:rsid w:val="00B52618"/>
    <w:rsid w:val="00B73897"/>
    <w:rsid w:val="00B75A4B"/>
    <w:rsid w:val="00B82194"/>
    <w:rsid w:val="00B9055D"/>
    <w:rsid w:val="00BA0595"/>
    <w:rsid w:val="00BC43B6"/>
    <w:rsid w:val="00BC5FD0"/>
    <w:rsid w:val="00BE25FD"/>
    <w:rsid w:val="00BE5886"/>
    <w:rsid w:val="00C109A0"/>
    <w:rsid w:val="00C17969"/>
    <w:rsid w:val="00C21736"/>
    <w:rsid w:val="00C218A6"/>
    <w:rsid w:val="00C3141B"/>
    <w:rsid w:val="00C410FF"/>
    <w:rsid w:val="00C778A5"/>
    <w:rsid w:val="00C831AF"/>
    <w:rsid w:val="00C858FE"/>
    <w:rsid w:val="00C86A46"/>
    <w:rsid w:val="00C96AE7"/>
    <w:rsid w:val="00CA1C30"/>
    <w:rsid w:val="00CB4ABA"/>
    <w:rsid w:val="00CC4EAE"/>
    <w:rsid w:val="00CC5A5D"/>
    <w:rsid w:val="00CE0B49"/>
    <w:rsid w:val="00CE335F"/>
    <w:rsid w:val="00D04EA5"/>
    <w:rsid w:val="00D04FE5"/>
    <w:rsid w:val="00D05D43"/>
    <w:rsid w:val="00D10400"/>
    <w:rsid w:val="00D1072C"/>
    <w:rsid w:val="00D2157D"/>
    <w:rsid w:val="00D64D88"/>
    <w:rsid w:val="00D71207"/>
    <w:rsid w:val="00D725BF"/>
    <w:rsid w:val="00D90B97"/>
    <w:rsid w:val="00D94869"/>
    <w:rsid w:val="00DA653C"/>
    <w:rsid w:val="00DB2C33"/>
    <w:rsid w:val="00DB3E9A"/>
    <w:rsid w:val="00DC22C2"/>
    <w:rsid w:val="00DC6CE7"/>
    <w:rsid w:val="00DC77D5"/>
    <w:rsid w:val="00DD21B4"/>
    <w:rsid w:val="00DE7D8B"/>
    <w:rsid w:val="00E07668"/>
    <w:rsid w:val="00E3692F"/>
    <w:rsid w:val="00E379BE"/>
    <w:rsid w:val="00E67220"/>
    <w:rsid w:val="00E730E2"/>
    <w:rsid w:val="00E8338A"/>
    <w:rsid w:val="00E948A2"/>
    <w:rsid w:val="00E97E3A"/>
    <w:rsid w:val="00EA6BFD"/>
    <w:rsid w:val="00EB12DA"/>
    <w:rsid w:val="00EC4CAC"/>
    <w:rsid w:val="00EC6646"/>
    <w:rsid w:val="00EC66CE"/>
    <w:rsid w:val="00EE1F0E"/>
    <w:rsid w:val="00EE2370"/>
    <w:rsid w:val="00F45AD7"/>
    <w:rsid w:val="00F51BDF"/>
    <w:rsid w:val="00F54024"/>
    <w:rsid w:val="00F614E0"/>
    <w:rsid w:val="00F83406"/>
    <w:rsid w:val="00F841B5"/>
    <w:rsid w:val="00FA0C7F"/>
    <w:rsid w:val="00FB0028"/>
    <w:rsid w:val="00FC0255"/>
    <w:rsid w:val="00FC50B2"/>
    <w:rsid w:val="00FD5555"/>
    <w:rsid w:val="00FD70DB"/>
    <w:rsid w:val="00FF49D7"/>
    <w:rsid w:val="00FF4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8F9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E68"/>
  </w:style>
  <w:style w:type="paragraph" w:styleId="Heading1">
    <w:name w:val="heading 1"/>
    <w:basedOn w:val="Normal"/>
    <w:next w:val="Normal"/>
    <w:qFormat/>
    <w:rsid w:val="00896E68"/>
    <w:pPr>
      <w:keepNext/>
      <w:tabs>
        <w:tab w:val="left" w:pos="1170"/>
      </w:tabs>
      <w:outlineLvl w:val="0"/>
    </w:pPr>
    <w:rPr>
      <w:sz w:val="24"/>
    </w:rPr>
  </w:style>
  <w:style w:type="paragraph" w:styleId="Heading2">
    <w:name w:val="heading 2"/>
    <w:basedOn w:val="Normal"/>
    <w:next w:val="Normal"/>
    <w:qFormat/>
    <w:rsid w:val="00896E68"/>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6E68"/>
    <w:pPr>
      <w:tabs>
        <w:tab w:val="center" w:pos="4320"/>
        <w:tab w:val="right" w:pos="8640"/>
      </w:tabs>
    </w:pPr>
  </w:style>
  <w:style w:type="paragraph" w:styleId="Footer">
    <w:name w:val="footer"/>
    <w:basedOn w:val="Normal"/>
    <w:rsid w:val="00896E68"/>
    <w:pPr>
      <w:tabs>
        <w:tab w:val="center" w:pos="4320"/>
        <w:tab w:val="right" w:pos="8640"/>
      </w:tabs>
    </w:pPr>
  </w:style>
  <w:style w:type="paragraph" w:styleId="BodyText">
    <w:name w:val="Body Text"/>
    <w:basedOn w:val="Normal"/>
    <w:rsid w:val="00896E68"/>
    <w:pPr>
      <w:tabs>
        <w:tab w:val="left" w:pos="1170"/>
      </w:tabs>
      <w:jc w:val="both"/>
    </w:pPr>
    <w:rPr>
      <w:sz w:val="24"/>
    </w:rPr>
  </w:style>
  <w:style w:type="paragraph" w:styleId="BalloonText">
    <w:name w:val="Balloon Text"/>
    <w:basedOn w:val="Normal"/>
    <w:link w:val="BalloonTextChar"/>
    <w:rsid w:val="00C3141B"/>
    <w:rPr>
      <w:rFonts w:ascii="Tahoma" w:hAnsi="Tahoma" w:cs="Tahoma"/>
      <w:sz w:val="16"/>
      <w:szCs w:val="16"/>
    </w:rPr>
  </w:style>
  <w:style w:type="character" w:customStyle="1" w:styleId="BalloonTextChar">
    <w:name w:val="Balloon Text Char"/>
    <w:basedOn w:val="DefaultParagraphFont"/>
    <w:link w:val="BalloonText"/>
    <w:rsid w:val="00C3141B"/>
    <w:rPr>
      <w:rFonts w:ascii="Tahoma" w:hAnsi="Tahoma" w:cs="Tahoma"/>
      <w:sz w:val="16"/>
      <w:szCs w:val="16"/>
    </w:rPr>
  </w:style>
  <w:style w:type="character" w:styleId="CommentReference">
    <w:name w:val="annotation reference"/>
    <w:basedOn w:val="DefaultParagraphFont"/>
    <w:semiHidden/>
    <w:unhideWhenUsed/>
    <w:rsid w:val="0099000E"/>
    <w:rPr>
      <w:sz w:val="16"/>
      <w:szCs w:val="16"/>
    </w:rPr>
  </w:style>
  <w:style w:type="paragraph" w:styleId="CommentText">
    <w:name w:val="annotation text"/>
    <w:basedOn w:val="Normal"/>
    <w:link w:val="CommentTextChar"/>
    <w:semiHidden/>
    <w:unhideWhenUsed/>
    <w:rsid w:val="0099000E"/>
  </w:style>
  <w:style w:type="character" w:customStyle="1" w:styleId="CommentTextChar">
    <w:name w:val="Comment Text Char"/>
    <w:basedOn w:val="DefaultParagraphFont"/>
    <w:link w:val="CommentText"/>
    <w:semiHidden/>
    <w:rsid w:val="0099000E"/>
  </w:style>
  <w:style w:type="paragraph" w:styleId="CommentSubject">
    <w:name w:val="annotation subject"/>
    <w:basedOn w:val="CommentText"/>
    <w:next w:val="CommentText"/>
    <w:link w:val="CommentSubjectChar"/>
    <w:semiHidden/>
    <w:unhideWhenUsed/>
    <w:rsid w:val="0099000E"/>
    <w:rPr>
      <w:b/>
      <w:bCs/>
    </w:rPr>
  </w:style>
  <w:style w:type="character" w:customStyle="1" w:styleId="CommentSubjectChar">
    <w:name w:val="Comment Subject Char"/>
    <w:basedOn w:val="CommentTextChar"/>
    <w:link w:val="CommentSubject"/>
    <w:semiHidden/>
    <w:rsid w:val="0099000E"/>
    <w:rPr>
      <w:b/>
      <w:bCs/>
    </w:rPr>
  </w:style>
  <w:style w:type="paragraph" w:styleId="FootnoteText">
    <w:name w:val="footnote text"/>
    <w:basedOn w:val="Normal"/>
    <w:link w:val="FootnoteTextChar"/>
    <w:semiHidden/>
    <w:unhideWhenUsed/>
    <w:rsid w:val="00391E9D"/>
  </w:style>
  <w:style w:type="character" w:customStyle="1" w:styleId="FootnoteTextChar">
    <w:name w:val="Footnote Text Char"/>
    <w:basedOn w:val="DefaultParagraphFont"/>
    <w:link w:val="FootnoteText"/>
    <w:semiHidden/>
    <w:rsid w:val="00391E9D"/>
  </w:style>
  <w:style w:type="character" w:styleId="FootnoteReference">
    <w:name w:val="footnote reference"/>
    <w:basedOn w:val="DefaultParagraphFont"/>
    <w:semiHidden/>
    <w:unhideWhenUsed/>
    <w:rsid w:val="00391E9D"/>
    <w:rPr>
      <w:vertAlign w:val="superscript"/>
    </w:rPr>
  </w:style>
  <w:style w:type="paragraph" w:styleId="Revision">
    <w:name w:val="Revision"/>
    <w:hidden/>
    <w:uiPriority w:val="99"/>
    <w:semiHidden/>
    <w:rsid w:val="00EC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1509</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2020-11-09T14:34:00Z</dcterms:created>
  <dcterms:modified xsi:type="dcterms:W3CDTF">2020-11-09T14:34:00Z</dcterms:modified>
</cp:coreProperties>
</file>